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X7189c90cf2d71878730d3612795563f445bbb19"/>
    <w:p>
      <w:pPr>
        <w:pStyle w:val="Heading2"/>
      </w:pPr>
      <w:r>
        <w:t xml:space="preserve">Ata da Reunião de Estratégia Pós‑Julgamento</w:t>
      </w:r>
    </w:p>
    <w:p>
      <w:pPr>
        <w:pStyle w:val="FirstParagraph"/>
      </w:pPr>
      <w:r>
        <w:rPr>
          <w:b/>
          <w:bCs/>
        </w:rPr>
        <w:t xml:space="preserve">Processo n.º 1234/2026 – Despedimento por Justa Causa – Uso Indevido de Email Corporativo</w:t>
      </w:r>
    </w:p>
    <w:p>
      <w:r>
        <w:pict>
          <v:rect style="width:0;height:1.5pt" o:hralign="center" o:hrstd="t" o:hr="t"/>
        </w:pict>
      </w:r>
    </w:p>
    <w:bookmarkStart w:id="9" w:name="dados-da-reunião"/>
    <w:p>
      <w:pPr>
        <w:pStyle w:val="Heading3"/>
      </w:pPr>
      <w:r>
        <w:t xml:space="preserve">1. Dados da Reunião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12 de fevereiro de 2026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Hora</w:t>
            </w:r>
          </w:p>
        </w:tc>
        <w:tc>
          <w:tcPr/>
          <w:p>
            <w:pPr>
              <w:pStyle w:val="Compact"/>
            </w:pPr>
            <w:r>
              <w:t xml:space="preserve">10:00 horas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Local</w:t>
            </w:r>
          </w:p>
        </w:tc>
        <w:tc>
          <w:tcPr/>
          <w:p>
            <w:pPr>
              <w:pStyle w:val="Compact"/>
            </w:pPr>
            <w:r>
              <w:t xml:space="preserve">Escritório da Sociedade de Advogados</w:t>
            </w:r>
            <w:r>
              <w:t xml:space="preserve"> </w:t>
            </w:r>
            <w:r>
              <w:rPr>
                <w:b/>
                <w:bCs/>
              </w:rPr>
              <w:t xml:space="preserve">Ribeiro &amp; Carvalho</w:t>
            </w:r>
            <w:r>
              <w:t xml:space="preserve">, Rua de São Bento, 45, 2.º Esq., 1200‑365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Presidente da Mesa</w:t>
            </w:r>
          </w:p>
        </w:tc>
        <w:tc>
          <w:tcPr/>
          <w:p>
            <w:pPr>
              <w:pStyle w:val="Compact"/>
            </w:pPr>
            <w:r>
              <w:t xml:space="preserve">Dr. António Ribeiro (OA 12345)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Secretário</w:t>
            </w:r>
          </w:p>
        </w:tc>
        <w:tc>
          <w:tcPr/>
          <w:p>
            <w:pPr>
              <w:pStyle w:val="Compact"/>
            </w:pPr>
            <w:r>
              <w:t xml:space="preserve">Dra. Sofia Carvalho (OA 67890)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Objetivo</w:t>
            </w:r>
          </w:p>
        </w:tc>
        <w:tc>
          <w:tcPr/>
          <w:p>
            <w:pPr>
              <w:pStyle w:val="Compact"/>
            </w:pPr>
            <w:r>
              <w:t xml:space="preserve">Definir a estratégia jurídica a adotar após a sentença proferida pela</w:t>
            </w:r>
            <w:r>
              <w:t xml:space="preserve"> </w:t>
            </w:r>
            <w:r>
              <w:rPr>
                <w:b/>
                <w:bCs/>
              </w:rPr>
              <w:t xml:space="preserve">Juíza Dr.ª Maria de Lurdes Santos</w:t>
            </w:r>
            <w:r>
              <w:t xml:space="preserve">, no âmbito do processo acima identificado.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participantes"/>
    <w:p>
      <w:pPr>
        <w:pStyle w:val="Heading3"/>
      </w:pPr>
      <w:r>
        <w:t xml:space="preserve">2. Participantes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Nome</w:t>
            </w:r>
          </w:p>
        </w:tc>
        <w:tc>
          <w:tcPr/>
          <w:p>
            <w:pPr>
              <w:pStyle w:val="Compact"/>
            </w:pPr>
            <w:r>
              <w:t xml:space="preserve">Qualificação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  <w:tc>
          <w:tcPr/>
          <w:p>
            <w:pPr>
              <w:pStyle w:val="Compact"/>
            </w:pPr>
            <w:r>
              <w:t xml:space="preserve">Função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António Ribeiro</w:t>
            </w:r>
          </w:p>
        </w:tc>
        <w:tc>
          <w:tcPr/>
          <w:p>
            <w:pPr>
              <w:pStyle w:val="Compact"/>
            </w:pPr>
            <w:r>
              <w:t xml:space="preserve">Advogado – OAB 12345</w:t>
            </w:r>
          </w:p>
        </w:tc>
        <w:tc>
          <w:tcPr/>
          <w:p>
            <w:pPr>
              <w:pStyle w:val="Compact"/>
            </w:pPr>
            <w:r>
              <w:t xml:space="preserve">213 456 789</w:t>
            </w:r>
          </w:p>
        </w:tc>
        <w:tc>
          <w:tcPr/>
          <w:p>
            <w:pPr>
              <w:pStyle w:val="Compact"/>
            </w:pPr>
            <w:r>
              <w:t xml:space="preserve">Presidente da Mesa, responsável pela coordenação geral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Advogada – OAB 67890</w:t>
            </w:r>
          </w:p>
        </w:tc>
        <w:tc>
          <w:tcPr/>
          <w:p>
            <w:pPr>
              <w:pStyle w:val="Compact"/>
            </w:pPr>
            <w:r>
              <w:t xml:space="preserve">219 876 543</w:t>
            </w:r>
          </w:p>
        </w:tc>
        <w:tc>
          <w:tcPr/>
          <w:p>
            <w:pPr>
              <w:pStyle w:val="Compact"/>
            </w:pPr>
            <w:r>
              <w:t xml:space="preserve">Secretária da reunião, responsável pela elaboração da presente ata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Luís Ventura</w:t>
            </w:r>
          </w:p>
        </w:tc>
        <w:tc>
          <w:tcPr/>
          <w:p>
            <w:pPr>
              <w:pStyle w:val="Compact"/>
            </w:pPr>
            <w:r>
              <w:t xml:space="preserve">Advogado – OAB 11223</w:t>
            </w:r>
          </w:p>
        </w:tc>
        <w:tc>
          <w:tcPr/>
          <w:p>
            <w:pPr>
              <w:pStyle w:val="Compact"/>
            </w:pPr>
            <w:r>
              <w:t xml:space="preserve">215 332 110</w:t>
            </w:r>
          </w:p>
        </w:tc>
        <w:tc>
          <w:tcPr/>
          <w:p>
            <w:pPr>
              <w:pStyle w:val="Compact"/>
            </w:pPr>
            <w:r>
              <w:t xml:space="preserve">Responsável pela elaboração da peça de recurso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Dra. Marta Alves</w:t>
            </w:r>
          </w:p>
        </w:tc>
        <w:tc>
          <w:tcPr/>
          <w:p>
            <w:pPr>
              <w:pStyle w:val="Compact"/>
            </w:pPr>
            <w:r>
              <w:t xml:space="preserve">Advogada – OAB 44556</w:t>
            </w:r>
          </w:p>
        </w:tc>
        <w:tc>
          <w:tcPr/>
          <w:p>
            <w:pPr>
              <w:pStyle w:val="Compact"/>
            </w:pPr>
            <w:r>
              <w:t xml:space="preserve">217 554 332</w:t>
            </w:r>
          </w:p>
        </w:tc>
        <w:tc>
          <w:tcPr/>
          <w:p>
            <w:pPr>
              <w:pStyle w:val="Compact"/>
            </w:pPr>
            <w:r>
              <w:t xml:space="preserve">Responsável pela pesquisa jurisprudencial e doutrinária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Sr. João Pereira</w:t>
            </w:r>
          </w:p>
        </w:tc>
        <w:tc>
          <w:tcPr/>
          <w:p>
            <w:pPr>
              <w:pStyle w:val="Compact"/>
            </w:pPr>
            <w:r>
              <w:t xml:space="preserve">Técnico de apoio jurídico</w:t>
            </w:r>
          </w:p>
        </w:tc>
        <w:tc>
          <w:tcPr/>
          <w:p>
            <w:pPr>
              <w:pStyle w:val="Compact"/>
            </w:pPr>
            <w:r>
              <w:t xml:space="preserve">221 998 776</w:t>
            </w:r>
          </w:p>
        </w:tc>
        <w:tc>
          <w:tcPr/>
          <w:p>
            <w:pPr>
              <w:pStyle w:val="Compact"/>
            </w:pPr>
            <w:r>
              <w:t xml:space="preserve">Responsável pela gestão documental e prazos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Sra. Ana Torres</w:t>
            </w:r>
          </w:p>
        </w:tc>
        <w:tc>
          <w:tcPr/>
          <w:p>
            <w:pPr>
              <w:pStyle w:val="Compact"/>
            </w:pPr>
            <w:r>
              <w:t xml:space="preserve">Assistente administrativa</w:t>
            </w:r>
          </w:p>
        </w:tc>
        <w:tc>
          <w:tcPr/>
          <w:p>
            <w:pPr>
              <w:pStyle w:val="Compact"/>
            </w:pPr>
            <w:r>
              <w:t xml:space="preserve">225 667 889</w:t>
            </w:r>
          </w:p>
        </w:tc>
        <w:tc>
          <w:tcPr/>
          <w:p>
            <w:pPr>
              <w:pStyle w:val="Compact"/>
            </w:pPr>
            <w:r>
              <w:t xml:space="preserve">Responsável pela comunicação com o cliente (José Manuel da Silva)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ordem-de-trabalhos"/>
    <w:p>
      <w:pPr>
        <w:pStyle w:val="Heading3"/>
      </w:pPr>
      <w:r>
        <w:t xml:space="preserve">3. Ordem de Trabalhos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Leitura e análise da sentença</w:t>
      </w:r>
      <w:r>
        <w:t xml:space="preserve"> </w:t>
      </w:r>
      <w:r>
        <w:t xml:space="preserve">proferida em 5 de fevereiro de 2026.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Verificação dos prazos</w:t>
      </w:r>
      <w:r>
        <w:t xml:space="preserve"> </w:t>
      </w:r>
      <w:r>
        <w:t xml:space="preserve">para interposição de recurso.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Definição da via recursal</w:t>
      </w:r>
      <w:r>
        <w:t xml:space="preserve"> </w:t>
      </w:r>
      <w:r>
        <w:t xml:space="preserve">(recurso ordinário ou recurso de revista).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Planeamento da estratégia de prova</w:t>
      </w:r>
      <w:r>
        <w:t xml:space="preserve"> </w:t>
      </w:r>
      <w:r>
        <w:t xml:space="preserve">(pedido de produção de documentos internos da empresa XYZ, Lda.).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Distribuição de tarefas</w:t>
      </w:r>
      <w:r>
        <w:t xml:space="preserve"> </w:t>
      </w:r>
      <w:r>
        <w:t xml:space="preserve">e definição de cronograma.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Comunicação ao cliente</w:t>
      </w:r>
      <w:r>
        <w:t xml:space="preserve"> </w:t>
      </w:r>
      <w:r>
        <w:t xml:space="preserve">e instruções para a assinatura de procuração de recurso.</w:t>
      </w:r>
    </w:p>
    <w:p>
      <w:r>
        <w:pict>
          <v:rect style="width:0;height:1.5pt" o:hralign="center" o:hrstd="t" o:hr="t"/>
        </w:pict>
      </w:r>
    </w:p>
    <w:bookmarkEnd w:id="11"/>
    <w:bookmarkStart w:id="19" w:name="deliberações"/>
    <w:p>
      <w:pPr>
        <w:pStyle w:val="Heading3"/>
      </w:pPr>
      <w:r>
        <w:t xml:space="preserve">4. Deliberações</w:t>
      </w:r>
    </w:p>
    <w:bookmarkStart w:id="12" w:name="análise-da-sentença"/>
    <w:p>
      <w:pPr>
        <w:pStyle w:val="Heading4"/>
      </w:pPr>
      <w:r>
        <w:t xml:space="preserve">4.1. Análise da Sentença</w:t>
      </w:r>
    </w:p>
    <w:p>
      <w:pPr>
        <w:pStyle w:val="Compact"/>
        <w:numPr>
          <w:ilvl w:val="0"/>
          <w:numId w:val="1002"/>
        </w:numPr>
      </w:pPr>
      <w:r>
        <w:t xml:space="preserve">A Juíza reconheceu a</w:t>
      </w:r>
      <w:r>
        <w:t xml:space="preserve"> </w:t>
      </w:r>
      <w:r>
        <w:rPr>
          <w:b/>
          <w:bCs/>
        </w:rPr>
        <w:t xml:space="preserve">justa causa</w:t>
      </w:r>
      <w:r>
        <w:t xml:space="preserve"> </w:t>
      </w:r>
      <w:r>
        <w:t xml:space="preserve">alegada pela Empresa XYZ, Lda., fundamentando‑se no alegado uso indevido do email corporativo e violação do dever de lealdade.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Foi considerada</w:t>
      </w:r>
      <w:r>
        <w:t xml:space="preserve"> </w:t>
      </w:r>
      <w:r>
        <w:rPr>
          <w:b/>
          <w:bCs/>
        </w:rPr>
        <w:t xml:space="preserve">regular</w:t>
      </w:r>
      <w:r>
        <w:t xml:space="preserve"> </w:t>
      </w:r>
      <w:r>
        <w:t xml:space="preserve">a comunicação prévia ao trabalhador, embora o juiz tenha destacado a ausência de advertência escrita prévia.</w:t>
      </w:r>
      <w:r>
        <w:br/>
      </w:r>
    </w:p>
    <w:p>
      <w:pPr>
        <w:pStyle w:val="Compact"/>
        <w:numPr>
          <w:ilvl w:val="0"/>
          <w:numId w:val="1002"/>
        </w:numPr>
      </w:pPr>
      <w:r>
        <w:t xml:space="preserve">O valor da indemnização por despedimento sem justa causa foi fixado em</w:t>
      </w:r>
      <w:r>
        <w:t xml:space="preserve"> </w:t>
      </w:r>
      <w:r>
        <w:rPr>
          <w:b/>
          <w:bCs/>
        </w:rPr>
        <w:t xml:space="preserve">€ 0,00</w:t>
      </w:r>
      <w:r>
        <w:t xml:space="preserve">, mas foi reconhecida a obrigação de pagamento de</w:t>
      </w:r>
      <w:r>
        <w:t xml:space="preserve"> </w:t>
      </w:r>
      <w:r>
        <w:rPr>
          <w:b/>
          <w:bCs/>
        </w:rPr>
        <w:t xml:space="preserve">dias de férias não gozados</w:t>
      </w:r>
      <w:r>
        <w:t xml:space="preserve"> </w:t>
      </w:r>
      <w:r>
        <w:t xml:space="preserve">no montante de</w:t>
      </w:r>
      <w:r>
        <w:t xml:space="preserve"> </w:t>
      </w:r>
      <w:r>
        <w:rPr>
          <w:b/>
          <w:bCs/>
        </w:rPr>
        <w:t xml:space="preserve">€ 1 250,00</w:t>
      </w:r>
      <w:r>
        <w:t xml:space="preserve">.</w:t>
      </w:r>
    </w:p>
    <w:bookmarkEnd w:id="12"/>
    <w:bookmarkStart w:id="13" w:name="prazos-recursais"/>
    <w:p>
      <w:pPr>
        <w:pStyle w:val="Heading4"/>
      </w:pPr>
      <w:r>
        <w:t xml:space="preserve">4.2. Prazos Recursais</w:t>
      </w:r>
    </w:p>
    <w:p>
      <w:pPr>
        <w:pStyle w:val="Compact"/>
        <w:numPr>
          <w:ilvl w:val="0"/>
          <w:numId w:val="1003"/>
        </w:numPr>
      </w:pPr>
      <w:r>
        <w:t xml:space="preserve">O prazo para interpor</w:t>
      </w:r>
      <w:r>
        <w:t xml:space="preserve"> </w:t>
      </w:r>
      <w:r>
        <w:rPr>
          <w:b/>
          <w:bCs/>
        </w:rPr>
        <w:t xml:space="preserve">recurso ordinário</w:t>
      </w:r>
      <w:r>
        <w:t xml:space="preserve"> </w:t>
      </w:r>
      <w:r>
        <w:t xml:space="preserve">é de</w:t>
      </w:r>
      <w:r>
        <w:t xml:space="preserve"> </w:t>
      </w:r>
      <w:r>
        <w:rPr>
          <w:b/>
          <w:bCs/>
        </w:rPr>
        <w:t xml:space="preserve">8 dias úteis</w:t>
      </w:r>
      <w:r>
        <w:t xml:space="preserve"> </w:t>
      </w:r>
      <w:r>
        <w:t xml:space="preserve">a contar da notificação da sentença (art. 794.º do CPC).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A notificação ocorreu em</w:t>
      </w:r>
      <w:r>
        <w:t xml:space="preserve"> </w:t>
      </w:r>
      <w:r>
        <w:rPr>
          <w:b/>
          <w:bCs/>
        </w:rPr>
        <w:t xml:space="preserve">7 de fevereiro de 2026</w:t>
      </w:r>
      <w:r>
        <w:t xml:space="preserve">, pelo que o último dia útil para interpor o recurso é</w:t>
      </w:r>
      <w:r>
        <w:t xml:space="preserve"> </w:t>
      </w:r>
      <w:r>
        <w:rPr>
          <w:b/>
          <w:bCs/>
        </w:rPr>
        <w:t xml:space="preserve">19 de fevereiro de 2026</w:t>
      </w:r>
      <w:r>
        <w:t xml:space="preserve">.</w:t>
      </w:r>
    </w:p>
    <w:bookmarkEnd w:id="13"/>
    <w:bookmarkStart w:id="14" w:name="via-recursal-a-adotar"/>
    <w:p>
      <w:pPr>
        <w:pStyle w:val="Heading4"/>
      </w:pPr>
      <w:r>
        <w:t xml:space="preserve">4.3. Via Recursal a Adotar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Decisão:</w:t>
      </w:r>
      <w:r>
        <w:t xml:space="preserve"> </w:t>
      </w:r>
      <w:r>
        <w:t xml:space="preserve">Interpor</w:t>
      </w:r>
      <w:r>
        <w:t xml:space="preserve"> </w:t>
      </w:r>
      <w:r>
        <w:rPr>
          <w:b/>
          <w:bCs/>
        </w:rPr>
        <w:t xml:space="preserve">recurso ordinário</w:t>
      </w:r>
      <w:r>
        <w:t xml:space="preserve"> </w:t>
      </w:r>
      <w:r>
        <w:t xml:space="preserve">(art. 792.º, n.º 1, CPC) por considerar que a sentença contém</w:t>
      </w:r>
      <w:r>
        <w:t xml:space="preserve"> </w:t>
      </w:r>
      <w:r>
        <w:rPr>
          <w:b/>
          <w:bCs/>
        </w:rPr>
        <w:t xml:space="preserve">erro de facto</w:t>
      </w:r>
      <w:r>
        <w:t xml:space="preserve"> </w:t>
      </w:r>
      <w:r>
        <w:t xml:space="preserve">quanto à inexistência de advertência prévia e</w:t>
      </w:r>
      <w:r>
        <w:t xml:space="preserve"> </w:t>
      </w:r>
      <w:r>
        <w:rPr>
          <w:b/>
          <w:bCs/>
        </w:rPr>
        <w:t xml:space="preserve">erro de direito</w:t>
      </w:r>
      <w:r>
        <w:t xml:space="preserve"> </w:t>
      </w:r>
      <w:r>
        <w:t xml:space="preserve">ao não aplicar o princípio da proporcionalidade na sanção.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Foi descartada a via de</w:t>
      </w:r>
      <w:r>
        <w:t xml:space="preserve"> </w:t>
      </w:r>
      <w:r>
        <w:rPr>
          <w:b/>
          <w:bCs/>
        </w:rPr>
        <w:t xml:space="preserve">recurso de revista</w:t>
      </w:r>
      <w:r>
        <w:t xml:space="preserve"> </w:t>
      </w:r>
      <w:r>
        <w:t xml:space="preserve">por ainda não estarem presentes os requisitos de violação de lei ou de jurisprudência consolidada.</w:t>
      </w:r>
    </w:p>
    <w:bookmarkEnd w:id="14"/>
    <w:bookmarkStart w:id="15" w:name="estratégia-de-prova"/>
    <w:p>
      <w:pPr>
        <w:pStyle w:val="Heading4"/>
      </w:pPr>
      <w:r>
        <w:t xml:space="preserve">4.4. Estratégia de Prova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Objetivo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Meio de Prova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Prazo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Demonstrar a inexistência de advertência escrita prévia</w:t>
            </w:r>
          </w:p>
        </w:tc>
        <w:tc>
          <w:tcPr/>
          <w:p>
            <w:pPr>
              <w:pStyle w:val="Compact"/>
            </w:pPr>
            <w:r>
              <w:t xml:space="preserve">Pedido de produção de documentos internos da empresa (registo de advertências, comunicações internas)</w:t>
            </w:r>
          </w:p>
        </w:tc>
        <w:tc>
          <w:tcPr/>
          <w:p>
            <w:pPr>
              <w:pStyle w:val="Compact"/>
            </w:pPr>
            <w:r>
              <w:t xml:space="preserve">Dr. Luís Ventura</w:t>
            </w:r>
          </w:p>
        </w:tc>
        <w:tc>
          <w:tcPr/>
          <w:p>
            <w:pPr>
              <w:pStyle w:val="Compact"/>
            </w:pPr>
            <w:r>
              <w:t xml:space="preserve">Até 28 de fevereiro de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Evidenciar a natureza meramente pessoal dos e‑mails</w:t>
            </w:r>
          </w:p>
        </w:tc>
        <w:tc>
          <w:tcPr/>
          <w:p>
            <w:pPr>
              <w:pStyle w:val="Compact"/>
            </w:pPr>
            <w:r>
              <w:t xml:space="preserve">Anexar cópias dos e‑mails contestados (excluindo dados confidenciais) e declaração do trabalhador</w:t>
            </w:r>
          </w:p>
        </w:tc>
        <w:tc>
          <w:tcPr/>
          <w:p>
            <w:pPr>
              <w:pStyle w:val="Compact"/>
            </w:pPr>
            <w:r>
              <w:t xml:space="preserve">Dra. Marta Alves</w:t>
            </w:r>
          </w:p>
        </w:tc>
        <w:tc>
          <w:tcPr/>
          <w:p>
            <w:pPr>
              <w:pStyle w:val="Compact"/>
            </w:pPr>
            <w:r>
              <w:t xml:space="preserve">Até 25 de fevereiro de 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Provar a desproporcionalidade da sanção</w:t>
            </w:r>
          </w:p>
        </w:tc>
        <w:tc>
          <w:tcPr/>
          <w:p>
            <w:pPr>
              <w:pStyle w:val="Compact"/>
            </w:pPr>
            <w:r>
              <w:t xml:space="preserve">Parecer jurídico comparativo de jurisprudência sobre despedimentos por uso de email corporativo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Até 27 de fevereiro de 2026</w:t>
            </w:r>
          </w:p>
        </w:tc>
      </w:tr>
    </w:tbl>
    <w:bookmarkEnd w:id="15"/>
    <w:bookmarkStart w:id="16" w:name="distribuição-de-tarefas"/>
    <w:p>
      <w:pPr>
        <w:pStyle w:val="Heading4"/>
      </w:pPr>
      <w:r>
        <w:t xml:space="preserve">4.5. Distribuição de Tarefas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Tarefa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Limite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Redação da petição de recurso ordinário</w:t>
            </w:r>
          </w:p>
        </w:tc>
        <w:tc>
          <w:tcPr/>
          <w:p>
            <w:pPr>
              <w:pStyle w:val="Compact"/>
            </w:pPr>
            <w:r>
              <w:t xml:space="preserve">Dr. Luís Ventura</w:t>
            </w:r>
          </w:p>
        </w:tc>
        <w:tc>
          <w:tcPr/>
          <w:p>
            <w:pPr>
              <w:pStyle w:val="Compact"/>
            </w:pPr>
            <w:r>
              <w:t xml:space="preserve">16 de fevereiro de 2026</w:t>
            </w:r>
          </w:p>
        </w:tc>
        <w:tc>
          <w:tcPr/>
          <w:p>
            <w:pPr>
              <w:pStyle w:val="Compact"/>
            </w:pPr>
            <w:r>
              <w:t xml:space="preserve">Incluir fundamentos de erro de facto e de direito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Revisão da peça de recurso e inserção de jurisprudência</w:t>
            </w:r>
          </w:p>
        </w:tc>
        <w:tc>
          <w:tcPr/>
          <w:p>
            <w:pPr>
              <w:pStyle w:val="Compact"/>
            </w:pPr>
            <w:r>
              <w:t xml:space="preserve">Dra. Sofia Carvalho</w:t>
            </w:r>
          </w:p>
        </w:tc>
        <w:tc>
          <w:tcPr/>
          <w:p>
            <w:pPr>
              <w:pStyle w:val="Compact"/>
            </w:pPr>
            <w:r>
              <w:t xml:space="preserve">17 de fevereiro de 2026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Preparação de lista de documentos a requerer à empresa XYZ, Lda.</w:t>
            </w:r>
          </w:p>
        </w:tc>
        <w:tc>
          <w:tcPr/>
          <w:p>
            <w:pPr>
              <w:pStyle w:val="Compact"/>
            </w:pPr>
            <w:r>
              <w:t xml:space="preserve">Dra. Marta Alves</w:t>
            </w:r>
          </w:p>
        </w:tc>
        <w:tc>
          <w:tcPr/>
          <w:p>
            <w:pPr>
              <w:pStyle w:val="Compact"/>
            </w:pPr>
            <w:r>
              <w:t xml:space="preserve">18 de fevereiro de 2026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Verificação de conformidade formal da procuração de recurso</w:t>
            </w:r>
          </w:p>
        </w:tc>
        <w:tc>
          <w:tcPr/>
          <w:p>
            <w:pPr>
              <w:pStyle w:val="Compact"/>
            </w:pPr>
            <w:r>
              <w:t xml:space="preserve">Sr. João Pereira</w:t>
            </w:r>
          </w:p>
        </w:tc>
        <w:tc>
          <w:tcPr/>
          <w:p>
            <w:pPr>
              <w:pStyle w:val="Compact"/>
            </w:pPr>
            <w:r>
              <w:t xml:space="preserve">15 de fevereiro de 2026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Comunicação ao cliente (José Manuel da Silva) e recolha de assinatura na procuração</w:t>
            </w:r>
          </w:p>
        </w:tc>
        <w:tc>
          <w:tcPr/>
          <w:p>
            <w:pPr>
              <w:pStyle w:val="Compact"/>
            </w:pPr>
            <w:r>
              <w:t xml:space="preserve">Sra. Ana Torres</w:t>
            </w:r>
          </w:p>
        </w:tc>
        <w:tc>
          <w:tcPr/>
          <w:p>
            <w:pPr>
              <w:pStyle w:val="Compact"/>
            </w:pPr>
            <w:r>
              <w:t xml:space="preserve">14 de fevereiro de 2026</w:t>
            </w:r>
          </w:p>
        </w:tc>
        <w:tc>
          <w:tcPr/>
          <w:p>
            <w:pPr>
              <w:pStyle w:val="Compact"/>
            </w:pPr>
            <w:r>
              <w:t xml:space="preserve">Enviar e‑mail e agendar reunião presencial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Submissão eletrónica do recurso ao Tribunal do Trabalho de Lisboa</w:t>
            </w:r>
          </w:p>
        </w:tc>
        <w:tc>
          <w:tcPr/>
          <w:p>
            <w:pPr>
              <w:pStyle w:val="Compact"/>
            </w:pPr>
            <w:r>
              <w:t xml:space="preserve">Sr. João Pereira</w:t>
            </w:r>
          </w:p>
        </w:tc>
        <w:tc>
          <w:tcPr/>
          <w:p>
            <w:pPr>
              <w:pStyle w:val="Compact"/>
            </w:pPr>
            <w:r>
              <w:t xml:space="preserve">19 de fevereiro de 2026 (último dia útil)</w:t>
            </w:r>
          </w:p>
        </w:tc>
        <w:tc>
          <w:tcPr/>
          <w:p>
            <w:pPr>
              <w:pStyle w:val="Compact"/>
            </w:pPr>
            <w:r>
              <w:t xml:space="preserve">Utilizar o Portal CITI</w:t>
            </w:r>
          </w:p>
        </w:tc>
      </w:tr>
    </w:tbl>
    <w:bookmarkEnd w:id="16"/>
    <w:bookmarkStart w:id="17" w:name="comunicação-ao-cliente"/>
    <w:p>
      <w:pPr>
        <w:pStyle w:val="Heading4"/>
      </w:pPr>
      <w:r>
        <w:t xml:space="preserve">4.6. Comunicação ao Cliente</w:t>
      </w:r>
    </w:p>
    <w:p>
      <w:pPr>
        <w:pStyle w:val="Compact"/>
        <w:numPr>
          <w:ilvl w:val="0"/>
          <w:numId w:val="1005"/>
        </w:numPr>
      </w:pPr>
      <w:r>
        <w:t xml:space="preserve">Foi decidido</w:t>
      </w:r>
      <w:r>
        <w:t xml:space="preserve"> </w:t>
      </w:r>
      <w:r>
        <w:rPr>
          <w:b/>
          <w:bCs/>
        </w:rPr>
        <w:t xml:space="preserve">informar imediatamente o cliente</w:t>
      </w:r>
      <w:r>
        <w:t xml:space="preserve">, José Manuel da Silva, NIF 123 456 789, residente na Rua da Prata, 12, 2.º Dto., 1200‑345 Lisboa, da intenção de interpor recurso, dos fundamentos a ser alegados e da necessidade de assinatura da procuração.</w:t>
      </w:r>
      <w:r>
        <w:br/>
      </w:r>
    </w:p>
    <w:p>
      <w:pPr>
        <w:pStyle w:val="Compact"/>
        <w:numPr>
          <w:ilvl w:val="0"/>
          <w:numId w:val="1005"/>
        </w:numPr>
      </w:pPr>
      <w:r>
        <w:t xml:space="preserve">A Sra. Ana Torres ficará encarregada de enviar a comunicação por correio certificado e e‑mail, bem como de marcar reunião presencial para assinatura até</w:t>
      </w:r>
      <w:r>
        <w:t xml:space="preserve"> </w:t>
      </w:r>
      <w:r>
        <w:rPr>
          <w:b/>
          <w:bCs/>
        </w:rPr>
        <w:t xml:space="preserve">14 de fevereiro de 2026</w:t>
      </w:r>
      <w:r>
        <w:t xml:space="preserve">.</w:t>
      </w:r>
    </w:p>
    <w:bookmarkEnd w:id="17"/>
    <w:bookmarkStart w:id="18" w:name="aprovação-da-estratégia"/>
    <w:p>
      <w:pPr>
        <w:pStyle w:val="Heading4"/>
      </w:pPr>
      <w:r>
        <w:t xml:space="preserve">4.7. Aprovação da Estratégia</w:t>
      </w:r>
    </w:p>
    <w:p>
      <w:pPr>
        <w:pStyle w:val="Compact"/>
        <w:numPr>
          <w:ilvl w:val="0"/>
          <w:numId w:val="1006"/>
        </w:numPr>
      </w:pPr>
      <w:r>
        <w:t xml:space="preserve">Todos os presentes concordaram com a estratégia delineada e aprovaram unanimemente as decisões acima referidas.</w:t>
      </w:r>
      <w:r>
        <w:br/>
      </w:r>
    </w:p>
    <w:p>
      <w:pPr>
        <w:pStyle w:val="Compact"/>
        <w:numPr>
          <w:ilvl w:val="0"/>
          <w:numId w:val="1006"/>
        </w:numPr>
      </w:pPr>
      <w:r>
        <w:t xml:space="preserve">Foi acordado que a equipa reunirá novamente, se necessário, em</w:t>
      </w:r>
      <w:r>
        <w:t xml:space="preserve"> </w:t>
      </w:r>
      <w:r>
        <w:rPr>
          <w:b/>
          <w:bCs/>
        </w:rPr>
        <w:t xml:space="preserve">23 de fevereiro de 2026</w:t>
      </w:r>
      <w:r>
        <w:t xml:space="preserve">, para avaliação do andamento das diligências e eventual preparação de contrarrazões a eventuais incidentes processuais.</w:t>
      </w:r>
    </w:p>
    <w:p>
      <w:r>
        <w:pict>
          <v:rect style="width:0;height:1.5pt" o:hralign="center" o:hrstd="t" o:hr="t"/>
        </w:pict>
      </w:r>
    </w:p>
    <w:bookmarkEnd w:id="18"/>
    <w:bookmarkEnd w:id="19"/>
    <w:bookmarkStart w:id="20" w:name="encerramento"/>
    <w:p>
      <w:pPr>
        <w:pStyle w:val="Heading3"/>
      </w:pPr>
      <w:r>
        <w:t xml:space="preserve">5. Encerramento</w:t>
      </w:r>
    </w:p>
    <w:p>
      <w:pPr>
        <w:pStyle w:val="FirstParagraph"/>
      </w:pPr>
      <w:r>
        <w:t xml:space="preserve">Nada mais havendo a tratar, a reunião foi encerrada às</w:t>
      </w:r>
      <w:r>
        <w:t xml:space="preserve"> </w:t>
      </w:r>
      <w:r>
        <w:rPr>
          <w:b/>
          <w:bCs/>
        </w:rPr>
        <w:t xml:space="preserve">11h30</w:t>
      </w:r>
      <w:r>
        <w:t xml:space="preserve">, da mesma data e local.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12 de fevereiro de 2026</w:t>
      </w:r>
    </w:p>
    <w:p>
      <w:pPr>
        <w:pStyle w:val="BodyText"/>
      </w:pPr>
      <w:r>
        <w:t xml:space="preserve">_________________________________ | _________________________________ |</w:t>
      </w:r>
      <w:r>
        <w:br/>
      </w:r>
      <w:r>
        <w:t xml:space="preserve">Dr. António Ribeiro (OA 12345) | Dra. Sofia Carvalho (OA 67890) |</w:t>
      </w:r>
      <w:r>
        <w:br/>
      </w:r>
      <w:r>
        <w:rPr>
          <w:b/>
          <w:bCs/>
        </w:rPr>
        <w:t xml:space="preserve">Presidente da Mesa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Secretária da Reunião</w:t>
      </w:r>
      <w:r>
        <w:t xml:space="preserve"> </w:t>
      </w:r>
      <w:r>
        <w:t xml:space="preserve">|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Esta ata será arquivada nos autos do processo n.º 1234/2026, bem como guardada em cópia eletrónica no sistema de gestão documental da sociedade de advogados Ribeiro &amp; Carvalho.</w:t>
      </w:r>
    </w:p>
    <w:bookmarkEnd w:id="20"/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2026-02-22T18:50:39Z</dcterms:created>
  <dcterms:modified xsi:type="dcterms:W3CDTF">2026-02-22T18:50:39Z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